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word/commentsIdsDocument.xml" ContentType="application/vnd.openxmlformats-officedocument.wordprocessingml.commentsIds+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Document.xml" ContentType="application/vnd.openxmlformats-officedocument.wordprocessingml.comments+xml"/>
  <Override PartName="/word/commentsExtended.xml" ContentType="application/vnd.openxmlformats-officedocument.wordprocessingml.commentsExtended+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commentRangeStart w:id="0"/>
      <w:r>
        <w:rPr>
          <w:b/>
          <w:sz w:val="72"/>
          <w:szCs w:val="72"/>
          <w:rtl w:val="0"/>
        </w:rPr>
        <w:t xml:space="preserve"> FICHE ACTION VNE N°16</w:t>
      </w:r>
      <w:commentRangeEnd w:id="0"/>
      <w:r>
        <w:commentReference w:id="0"/>
      </w:r>
      <w:r>
        <w:rPr>
          <w:b/>
          <w:sz w:val="10"/>
          <w:szCs w:val="10"/>
        </w:rPr>
      </w:r>
      <w:r>
        <w:rPr>
          <w:b/>
          <w:sz w:val="10"/>
          <w:szCs w:val="10"/>
        </w:rPr>
      </w:r>
    </w:p>
    <w:tbl>
      <w:tblPr>
        <w:tblStyle w:val="909"/>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e63946"/>
              </w:rPr>
            </w:pPr>
            <w:r>
              <w:rPr>
                <w:shd w:val="clear" w:color="auto" w:fill="e63946"/>
                <w:rtl w:val="0"/>
              </w:rPr>
              <w:t xml:space="preserve">AXE I</w:t>
            </w:r>
            <w:r>
              <w:rPr>
                <w:shd w:val="clear" w:color="auto" w:fill="e63946"/>
              </w:rPr>
            </w:r>
            <w:r>
              <w:rPr>
                <w:shd w:val="clear" w:color="auto" w:fill="e63946"/>
              </w:rPr>
            </w:r>
          </w:p>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457b9d"/>
              </w:rPr>
            </w:pPr>
            <w:r>
              <w:rPr>
                <w:shd w:val="clear" w:color="auto" w:fill="457b9d"/>
                <w:rtl w:val="0"/>
              </w:rPr>
              <w:t xml:space="preserve">AXE II</w:t>
            </w:r>
            <w:r>
              <w:rPr>
                <w:shd w:val="clear" w:color="auto" w:fill="457b9d"/>
              </w:rPr>
            </w:r>
            <w:r>
              <w:rPr>
                <w:shd w:val="clear" w:color="auto" w:fill="457b9d"/>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Doit être rédigée et validée par l’ANLCI</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Mettre en place les moyens permettant de lutter contre le double illettrisme</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ANLCI : porteur de la démarche + formateur</w:t>
            </w:r>
            <w:r>
              <w:rPr>
                <w:sz w:val="24"/>
                <w:szCs w:val="24"/>
              </w:rPr>
            </w:r>
            <w:r>
              <w:rPr>
                <w:sz w:val="24"/>
                <w:szCs w:val="24"/>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CD 83 : coordination, communication</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CoNum</w:t>
            </w:r>
            <w:r>
              <w:rPr>
                <w:rtl w:val="0"/>
              </w:rPr>
              <w:t xml:space="preserve"> (dans un premier temps)</w:t>
            </w:r>
            <w:r>
              <w:rPr>
                <w:rtl w:val="0"/>
              </w:rPr>
              <w:t xml:space="preserve"> et médiateurs numériques</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5"/>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L’illettrisme est une problématique séculaire. Aujourd’hui encore, des millions de personnes sont en situation d’illettrisme. La peine est double : d’un côté une difficulté à s’insérer et de l’autre la honte d’être dans cette situation.</w:t>
            </w:r>
            <w:r/>
          </w:p>
          <w:p>
            <w:pPr>
              <w:pBdr/>
              <w:spacing w:after="0" w:before="0" w:line="240" w:lineRule="auto"/>
              <w:ind/>
              <w:jc w:val="both"/>
              <w:rPr/>
            </w:pPr>
            <w:r>
              <w:rPr>
                <w:rtl w:val="0"/>
              </w:rPr>
              <w:t xml:space="preserve">La compétenc</w:t>
            </w:r>
            <w:r>
              <w:rPr>
                <w:rtl w:val="0"/>
              </w:rPr>
              <w:t xml:space="preserve">e numérique est reconnue par l’ANLCI comme compétence socle, condition sine qua non à une bonne intégration dans notre société.</w:t>
              <w:br/>
              <w:t xml:space="preserve">Une superposition entre situation d’illettrisme et d’illectronisme a pu être constatée, qu’on appelle donc “Double illettrisme”.</w:t>
            </w:r>
            <w:r/>
          </w:p>
          <w:p>
            <w:pPr>
              <w:pBdr/>
              <w:spacing w:after="0" w:before="0" w:line="240" w:lineRule="auto"/>
              <w:ind/>
              <w:jc w:val="both"/>
              <w:rPr/>
            </w:pPr>
            <w:r>
              <w:rPr>
                <w:rtl w:val="0"/>
              </w:rPr>
              <w:t xml:space="preserve">L’idée est donc devenue de s’appuyer sur le numérique comme un moyen et une fin afin </w:t>
            </w:r>
            <w:r>
              <w:rPr>
                <w:rtl w:val="0"/>
              </w:rPr>
              <w:t xml:space="preserve">de permettre le développement d’autres compétences primaires telles que la lecture ou le calcul. L’illectronisme étant moins stigmatisant que l’illettrisme, il est plus facile pour les apprenants de développer des compétences en s’appuyant sur ce biais là.</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numPr>
                <w:ilvl w:val="0"/>
                <w:numId w:val="8"/>
              </w:numPr>
              <w:pBdr/>
              <w:spacing w:after="0" w:before="0" w:line="240" w:lineRule="auto"/>
              <w:ind w:hanging="360" w:left="720"/>
              <w:jc w:val="left"/>
              <w:rPr>
                <w:u w:val="none"/>
              </w:rPr>
            </w:pPr>
            <w:r/>
            <w:commentRangeStart w:id="1"/>
            <w:r>
              <w:rPr>
                <w:rtl w:val="0"/>
              </w:rPr>
              <w:t xml:space="preserve">Former les médiateurs numériques au double illettrisme</w:t>
            </w:r>
            <w:r>
              <w:rPr>
                <w:u w:val="none"/>
              </w:rPr>
            </w:r>
            <w:r>
              <w:rPr>
                <w:u w:val="none"/>
              </w:rPr>
            </w:r>
          </w:p>
          <w:p>
            <w:pPr>
              <w:numPr>
                <w:ilvl w:val="0"/>
                <w:numId w:val="8"/>
              </w:numPr>
              <w:pBdr/>
              <w:spacing w:after="0" w:before="0" w:line="240" w:lineRule="auto"/>
              <w:ind w:hanging="360" w:left="720"/>
              <w:jc w:val="left"/>
              <w:rPr>
                <w:u w:val="none"/>
              </w:rPr>
            </w:pPr>
            <w:r>
              <w:rPr>
                <w:rtl w:val="0"/>
              </w:rPr>
              <w:t xml:space="preserve">Permettre aux usagers de développer des compétences complètes</w:t>
            </w:r>
            <w:commentRangeEnd w:id="1"/>
            <w:r>
              <w:commentReference w:id="1"/>
            </w:r>
            <w:r>
              <w:rPr>
                <w:rtl w:val="0"/>
              </w:rPr>
              <w:t xml:space="preserve"> en utilisant le numérique comme médium</w:t>
            </w:r>
            <w:r>
              <w:rPr>
                <w:u w:val="none"/>
              </w:rPr>
            </w:r>
            <w:r>
              <w:rPr>
                <w:u w:val="none"/>
              </w:rPr>
            </w:r>
          </w:p>
        </w:tc>
      </w:tr>
      <w:tr>
        <w:trPr>
          <w:cantSplit w:val="false"/>
          <w:trHeight w:val="1043"/>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6 - Promouvoir collectivement le référentiel europeen de compétences DigComp</w:t>
            </w:r>
            <w:r/>
          </w:p>
          <w:p>
            <w:pPr>
              <w:pBdr/>
              <w:spacing w:after="0" w:before="0" w:line="240" w:lineRule="auto"/>
              <w:ind/>
              <w:jc w:val="both"/>
              <w:rPr/>
            </w:pPr>
            <w:r>
              <w:rPr>
                <w:rtl w:val="0"/>
              </w:rPr>
              <w:t xml:space="preserve">11 - Développer la formation continue des conseillers numériques pour adapter leurs compétences aux réalités opérationnelles</w:t>
            </w:r>
            <w:r/>
          </w:p>
        </w:tc>
      </w:tr>
      <w:tr>
        <w:trPr>
          <w:cantSplit w:val="false"/>
          <w:trHeight w:val="1043"/>
        </w:trPr>
        <w:tc>
          <w:tcPr>
            <w:shd w:val="clear" w:color="auto" w:fill="auto"/>
            <w:tcBorders/>
            <w:vAlign w:val="center"/>
            <w:vMerge w:val="continue"/>
            <w:textDirection w:val="lrTb"/>
            <w:noWrap w:val="false"/>
          </w:tcPr>
          <w:p>
            <w:pPr>
              <w:widowControl w:val="false"/>
              <w:pBdr/>
              <w:spacing w:line="276" w:lineRule="auto"/>
              <w:ind/>
              <w:rPr>
                <w:b/>
              </w:rPr>
            </w:pPr>
            <w:r>
              <w:rPr>
                <w:rtl w:val="0"/>
              </w:rPr>
            </w:r>
            <w:r>
              <w:rPr>
                <w:b/>
              </w:rPr>
            </w:r>
            <w:r>
              <w:rPr>
                <w:b/>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Proposition n° 3 : Systématiser l'évaluation des capacités numériques autour d'un référentiel commun </w:t>
              <w:tab/>
              <w:t xml:space="preserve">Proposition n° 5 : Passer d'une logique de services publics 100 % dématérialisés à une logique de services publics 100 % accessibles .</w:t>
            </w:r>
            <w:r/>
          </w:p>
          <w:p>
            <w:pPr>
              <w:pBdr/>
              <w:spacing w:after="0" w:before="0" w:line="240" w:lineRule="auto"/>
              <w:ind/>
              <w:jc w:val="both"/>
              <w:rPr/>
            </w:pPr>
            <w:r>
              <w:rPr>
                <w:rtl w:val="0"/>
              </w:rPr>
              <w:t xml:space="preserve">Proposition n° 9 : Prendre en compte dès la conception des sites internet les difficultés d'accès et d'utilisation que peuvent connaître certains usagers, et simplifier leur mise en page.</w:t>
            </w:r>
            <w:r/>
          </w:p>
          <w:p>
            <w:pPr>
              <w:pBdr/>
              <w:spacing w:after="0" w:before="0" w:line="240" w:lineRule="auto"/>
              <w:ind/>
              <w:jc w:val="both"/>
              <w:rPr/>
            </w:pPr>
            <w:r>
              <w:rPr>
                <w:rtl w:val="0"/>
              </w:rPr>
              <w:t xml:space="preserve">Proposition n° 10 : Intégrer le point de vue des usagers via des tests utilisateurs, tout au long du développement et de l'exploitation d'un site numérique public.</w:t>
              <w:tab/>
            </w:r>
            <w:r/>
          </w:p>
          <w:p>
            <w:pPr>
              <w:pBdr/>
              <w:spacing w:after="0" w:before="0" w:line="240" w:lineRule="auto"/>
              <w:ind/>
              <w:jc w:val="both"/>
              <w:rPr/>
            </w:pPr>
            <w:r>
              <w:rPr>
                <w:rtl w:val="0"/>
              </w:rPr>
              <w:t xml:space="preserve">Proposition n° 11 : Rendre plus visible le label « e-accessible » et inviter chaque administration à auto-évaluer son niveau d'accessibilité.</w:t>
              <w:tab/>
            </w:r>
            <w:r/>
          </w:p>
          <w:p>
            <w:pPr>
              <w:pBdr/>
              <w:spacing w:after="0" w:before="0" w:line="240" w:lineRule="auto"/>
              <w:ind/>
              <w:jc w:val="both"/>
              <w:rPr/>
            </w:pPr>
            <w:r>
              <w:rPr>
                <w:rtl w:val="0"/>
              </w:rPr>
              <w:t xml:space="preserve">Proposition n° 13 : Inciter les administrations à utiliser pleinement les ressources du fonds pour l'insertion des personnes handicapées dans la fonction publique (FIPHFP) qui peut être mobilisé pour rendre accessibles leurs sites et applications</w:t>
            </w:r>
            <w:r>
              <w:rPr>
                <w:rtl w:val="0"/>
              </w:rPr>
              <w:t xml:space="preserve"> internet</w:t>
              <w:tab/>
              <w:t xml:space="preserve">Proposition n° 27 : Forger une véritable filière de médiateurs numériques , par le lancement d'un plan national de formation et par une meilleure reconnaissance du métier de médiateur numérique en :</w:t>
              <w:tab/>
              <w:t xml:space="preserve">- assurant leur formation continue permanente ;</w:t>
            </w:r>
            <w:r/>
          </w:p>
        </w:tc>
      </w:tr>
      <w:tr>
        <w:trPr>
          <w:cantSplit w:val="false"/>
          <w:trHeight w:val="1043"/>
        </w:trPr>
        <w:tc>
          <w:tcPr>
            <w:shd w:val="clear" w:color="auto" w:fill="auto"/>
            <w:tcBorders/>
            <w:vAlign w:val="center"/>
            <w:vMerge w:val="continue"/>
            <w:textDirection w:val="lrTb"/>
            <w:noWrap w:val="false"/>
          </w:tcPr>
          <w:p>
            <w:pPr>
              <w:widowControl w:val="false"/>
              <w:pBdr/>
              <w:spacing w:line="276" w:lineRule="auto"/>
              <w:ind/>
              <w:rPr>
                <w:b/>
              </w:rPr>
            </w:pPr>
            <w:r>
              <w:rPr>
                <w:rtl w:val="0"/>
              </w:rPr>
            </w:r>
            <w:r>
              <w:rPr>
                <w:b/>
              </w:rPr>
            </w:r>
            <w:r>
              <w:rPr>
                <w:b/>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Proposition n° 14 : Garantir l'accès aux droits des usagers par la mise à disposition sur les sites des administrations et opérateurs de services publics de « modes d'emploi » pou</w:t>
            </w:r>
            <w:r>
              <w:rPr>
                <w:rtl w:val="0"/>
              </w:rPr>
              <w:t xml:space="preserve">r accomplir des démarches en ligne (par exemple sous la forme de vidéos tutoriels).</w:t>
              <w:tab/>
              <w:t xml:space="preserve">Proposition n° 17 : Pérenniser le financement par l'État des conseillers numériques France Services au moins jusqu'en 2025 et revoir leur nombre à la hausse, si nécessaire.</w:t>
            </w:r>
            <w:r/>
          </w:p>
        </w:tc>
      </w:tr>
      <w:tr>
        <w:trPr>
          <w:cantSplit w:val="false"/>
          <w:trHeight w:val="51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OBJECTIFS OPÉRATIONNELS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firstLine="0" w:left="0"/>
              <w:rPr/>
            </w:pPr>
            <w:r>
              <w:rPr>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DESCRIPTIF DE L’ACTION</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firstLine="0" w:left="0"/>
              <w:rPr/>
            </w:pPr>
            <w:r>
              <w:rPr>
                <w:rtl w:val="0"/>
              </w:rPr>
              <w:t xml:space="preserve">La première étape se </w:t>
            </w:r>
            <w:r>
              <w:rPr>
                <w:rtl w:val="0"/>
              </w:rPr>
              <w:t xml:space="preserve">déroulera</w:t>
            </w:r>
            <w:r>
              <w:rPr>
                <w:rtl w:val="0"/>
              </w:rPr>
              <w:t xml:space="preserve"> en 2025 en s’appuyant sur le financement à hauteur de 10 personnes à la méthode DUPLEX.</w:t>
            </w:r>
            <w:r>
              <w:rPr>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7"/>
              </w:numPr>
              <w:pBdr/>
              <w:spacing w:after="0" w:before="0" w:line="240" w:lineRule="auto"/>
              <w:ind w:hanging="360" w:left="720"/>
              <w:rPr>
                <w:u w:val="none"/>
              </w:rPr>
            </w:pPr>
            <w:r>
              <w:rPr>
                <w:strike/>
                <w:rtl w:val="0"/>
              </w:rPr>
              <w:t xml:space="preserve">Publicité auprès des conseillers numériques de la formation DUPLEX</w:t>
            </w:r>
            <w:r>
              <w:rPr>
                <w:u w:val="none"/>
              </w:rPr>
            </w:r>
            <w:r>
              <w:rPr>
                <w:u w:val="none"/>
              </w:rPr>
            </w:r>
          </w:p>
          <w:p>
            <w:pPr>
              <w:numPr>
                <w:ilvl w:val="0"/>
                <w:numId w:val="7"/>
              </w:numPr>
              <w:pBdr/>
              <w:spacing w:after="0" w:before="0" w:line="240" w:lineRule="auto"/>
              <w:ind w:hanging="360" w:left="720"/>
              <w:rPr>
                <w:u w:val="none"/>
              </w:rPr>
            </w:pPr>
            <w:r>
              <w:rPr>
                <w:rtl w:val="0"/>
              </w:rPr>
              <w:t xml:space="preserve">Validation de dates et lieux</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4"/>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3"/>
              </w:numPr>
              <w:pBdr/>
              <w:spacing w:after="0" w:before="0" w:line="240" w:lineRule="auto"/>
              <w:ind w:hanging="360" w:left="425"/>
              <w:rPr>
                <w:sz w:val="24"/>
                <w:szCs w:val="24"/>
                <w:u w:val="none"/>
              </w:rPr>
            </w:pPr>
            <w:r>
              <w:rPr>
                <w:sz w:val="24"/>
                <w:szCs w:val="24"/>
                <w:rtl w:val="0"/>
              </w:rPr>
              <w:t xml:space="preserve"> DÉBUT:          </w:t>
            </w:r>
            <w:r>
              <w:rPr>
                <w:sz w:val="24"/>
                <w:szCs w:val="24"/>
                <w:u w:val="none"/>
              </w:rPr>
            </w:r>
            <w:r>
              <w:rPr>
                <w:sz w:val="24"/>
                <w:szCs w:val="24"/>
                <w:u w:val="none"/>
              </w:rPr>
            </w:r>
          </w:p>
          <w:p>
            <w:pPr>
              <w:pBdr/>
              <w:spacing w:after="0" w:before="0" w:line="240" w:lineRule="auto"/>
              <w:ind w:firstLine="0" w:left="566"/>
              <w:rPr/>
            </w:pPr>
            <w:r>
              <w:rPr>
                <w:sz w:val="24"/>
                <w:szCs w:val="24"/>
                <w:rtl w:val="0"/>
              </w:rPr>
              <w:t xml:space="preserve">FIN : </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Département du Var</w:t>
            </w:r>
            <w:r>
              <w:rPr>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 de personnes formées dans le Var</w:t>
            </w:r>
            <w:r>
              <w:rPr>
                <w:rtl w:val="0"/>
              </w:rPr>
            </w:r>
            <w:r/>
          </w:p>
          <w:p>
            <w:pPr>
              <w:pBdr/>
              <w:spacing w:after="0" w:before="0" w:line="240" w:lineRule="auto"/>
              <w:ind/>
              <w:rPr/>
            </w:pPr>
            <w:r>
              <w:rPr>
                <w:rtl w:val="0"/>
              </w:rPr>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hyperlink r:id="rId10" w:tooltip="https://resana.numerique.gouv.fr/public/information/consulterAccessUrl?cle_url=2071908225DmIEYlBYAGsGOlZmUz9VcQBsADJVdFJrBGsLbgBoW2MCNwEwUDBSZ1YyAG8DOQ==" w:history="1">
              <w:r>
                <w:rPr>
                  <w:color w:val="1155cc"/>
                  <w:u w:val="single"/>
                  <w:rtl w:val="0"/>
                </w:rPr>
                <w:t xml:space="preserve">Méthode DUPLEX</w:t>
              </w:r>
            </w:hyperlink>
            <w:r>
              <w:rPr>
                <w:rtl w:val="0"/>
              </w:rPr>
            </w:r>
            <w:r/>
          </w:p>
          <w:p>
            <w:pPr>
              <w:pBdr/>
              <w:spacing w:after="0" w:before="0" w:line="240" w:lineRule="auto"/>
              <w:ind/>
              <w:rPr/>
            </w:pPr>
            <w:r/>
            <w:hyperlink r:id="rId11" w:tooltip="https://resana.numerique.gouv.fr/public/information/consulterAccessUrl?cle_url=2124852969A28CZAcPUzgCPlNjA28LLwdrDz0DIgM6C2QBZAFpXmZUYVJjVjZZbFUwUzUCMg==" w:history="1">
              <w:r>
                <w:rPr>
                  <w:color w:val="1155cc"/>
                  <w:u w:val="single"/>
                  <w:rtl w:val="0"/>
                </w:rPr>
                <w:t xml:space="preserve">Plaquette EVA</w:t>
              </w:r>
            </w:hyperlink>
            <w:r>
              <w:rPr>
                <w:rtl w:val="0"/>
              </w:rPr>
            </w:r>
            <w:r/>
          </w:p>
          <w:p>
            <w:pPr>
              <w:pBdr/>
              <w:spacing w:after="0" w:before="0" w:line="240" w:lineRule="auto"/>
              <w:ind/>
              <w:rPr/>
            </w:pPr>
            <w:r/>
            <w:hyperlink r:id="rId12" w:tooltip="https://lesbases.anct.gouv.fr/ressources/webinaire-reperer-et-accompagner-les-personnes-en-situation-d-illettrisme-anlci" w:history="1">
              <w:r>
                <w:rPr>
                  <w:color w:val="1155cc"/>
                  <w:u w:val="single"/>
                  <w:rtl w:val="0"/>
                </w:rPr>
                <w:t xml:space="preserve">Webinaire “repérer les personnes en situation d’illectronisme”</w:t>
              </w:r>
            </w:hyperlink>
            <w:r>
              <w:rPr>
                <w:rtl w:val="0"/>
              </w:rPr>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Valentin BOUSSET" w:date="2025-08-19T10:42:48Z">
    <w:p w14:paraId="00000001" w14:textId="00000001">
      <w:pPr>
        <w:spacing w:line="240" w:after="0" w:lineRule="auto" w:before="0"/>
        <w:ind w:firstLine="0" w:left="0" w:right="0"/>
        <w:jc w:val="left"/>
      </w:pPr>
      <w:r>
        <w:rPr>
          <w:rFonts w:eastAsia="Arial" w:ascii="Arial" w:hAnsi="Arial" w:cs="Arial"/>
          <w:sz w:val="22"/>
        </w:rPr>
        <w:t xml:space="preserve">Duplex</w:t>
      </w:r>
    </w:p>
  </w:comment>
  <w:comment w:id="0" w:author="Valentin BOUSSET" w:date="2025-08-08T13:41:02Z">
    <w:p w14:paraId="00000002" w14:textId="00000002">
      <w:pPr>
        <w:spacing w:line="240" w:after="0" w:lineRule="auto" w:before="0"/>
        <w:ind w:firstLine="0" w:left="0" w:right="0"/>
        <w:jc w:val="left"/>
      </w:pPr>
      <w:r>
        <w:rPr>
          <w:rFonts w:eastAsia="Arial" w:ascii="Arial" w:hAnsi="Arial" w:cs="Arial"/>
          <w:sz w:val="22"/>
        </w:rPr>
        <w:t xml:space="preserve">À rédiger avec l'ANLCI</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lentin BOUSSET" w:date="2025-09-17T12:58:17Z">
    <w:p w14:paraId="00000001" w14:textId="00000001">
      <w:pPr>
        <w:spacing w:line="240" w:after="0" w:lineRule="auto" w:before="0"/>
        <w:ind w:firstLine="0" w:left="0" w:right="0"/>
        <w:jc w:val="left"/>
      </w:pPr>
      <w:r>
        <w:rPr>
          <w:rFonts w:eastAsia="Arial" w:ascii="Arial" w:hAnsi="Arial" w:cs="Arial"/>
          <w:sz w:val="22"/>
        </w:rPr>
        <w:t xml:space="preserve">peut être élargi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6D1B5D67"/>
  <w16cid:commentId w16cid:paraId="00000002" w16cid:durableId="41F8619C"/>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1FF0A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Table Grid"/>
    <w:basedOn w:val="71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Table Grid Light"/>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1"/>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2"/>
    <w:basedOn w:val="71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3"/>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4"/>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5"/>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w:basedOn w:val="7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w:basedOn w:val="7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7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7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7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7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7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7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1"/>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2"/>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3"/>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4"/>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5"/>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6"/>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3">
    <w:name w:val="Grid Table 6 Colorful - Accent 1"/>
    <w:basedOn w:val="7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4">
    <w:name w:val="Grid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5">
    <w:name w:val="Grid Table 6 Colorful - Accent 3"/>
    <w:basedOn w:val="7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6">
    <w:name w:val="Grid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7">
    <w:name w:val="Grid Table 6 Colorful - Accent 5"/>
    <w:basedOn w:val="7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8">
    <w:name w:val="Grid Table 6 Colorful - Accent 6"/>
    <w:basedOn w:val="7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9">
    <w:name w:val="Grid Table 7 Colorful"/>
    <w:basedOn w:val="7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1"/>
    <w:basedOn w:val="7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5"/>
    <w:basedOn w:val="7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6"/>
    <w:basedOn w:val="7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1"/>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2"/>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3"/>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4"/>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5"/>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6"/>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w:basedOn w:val="7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1"/>
    <w:basedOn w:val="7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2"/>
    <w:basedOn w:val="7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3"/>
    <w:basedOn w:val="7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4"/>
    <w:basedOn w:val="7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5"/>
    <w:basedOn w:val="7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6"/>
    <w:basedOn w:val="7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1"/>
    <w:basedOn w:val="7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3"/>
    <w:basedOn w:val="7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5"/>
    <w:basedOn w:val="7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6"/>
    <w:basedOn w:val="7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1"/>
    <w:basedOn w:val="7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2"/>
    <w:basedOn w:val="7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3"/>
    <w:basedOn w:val="7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4"/>
    <w:basedOn w:val="7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5"/>
    <w:basedOn w:val="7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6"/>
    <w:basedOn w:val="7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5 Dark"/>
    <w:basedOn w:val="7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1"/>
    <w:basedOn w:val="7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2"/>
    <w:basedOn w:val="7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3"/>
    <w:basedOn w:val="7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4"/>
    <w:basedOn w:val="7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5"/>
    <w:basedOn w:val="7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6"/>
    <w:basedOn w:val="7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1"/>
    <w:basedOn w:val="7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3"/>
    <w:basedOn w:val="7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5"/>
    <w:basedOn w:val="7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6"/>
    <w:basedOn w:val="7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7 Colorful"/>
    <w:basedOn w:val="7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9">
    <w:name w:val="List Table 7 Colorful - Accent 1"/>
    <w:basedOn w:val="7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0">
    <w:name w:val="List Table 7 Colorful - Accent 2"/>
    <w:basedOn w:val="7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1">
    <w:name w:val="List Table 7 Colorful - Accent 3"/>
    <w:basedOn w:val="7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2">
    <w:name w:val="List Table 7 Colorful - Accent 4"/>
    <w:basedOn w:val="7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3">
    <w:name w:val="List Table 7 Colorful - Accent 5"/>
    <w:basedOn w:val="7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4">
    <w:name w:val="List Table 7 Colorful - Accent 6"/>
    <w:basedOn w:val="7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5">
    <w:name w:val="Lined - Accent"/>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1"/>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2"/>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3"/>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4"/>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5"/>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6"/>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w:basedOn w:val="7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1"/>
    <w:basedOn w:val="7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2"/>
    <w:basedOn w:val="7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3"/>
    <w:basedOn w:val="7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4"/>
    <w:basedOn w:val="7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5"/>
    <w:basedOn w:val="7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6"/>
    <w:basedOn w:val="7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w:basedOn w:val="7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6">
    <w:name w:val="Heading 7"/>
    <w:basedOn w:val="900"/>
    <w:next w:val="900"/>
    <w:link w:val="85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7">
    <w:name w:val="Heading 8"/>
    <w:basedOn w:val="900"/>
    <w:next w:val="900"/>
    <w:link w:val="85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900"/>
    <w:next w:val="900"/>
    <w:link w:val="85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numbering" w:styleId="850" w:default="1">
    <w:name w:val="No List"/>
    <w:uiPriority w:val="99"/>
    <w:semiHidden/>
    <w:unhideWhenUsed/>
    <w:pPr>
      <w:pBdr/>
      <w:spacing/>
      <w:ind/>
    </w:pPr>
  </w:style>
  <w:style w:type="character" w:styleId="851">
    <w:name w:val="Heading 1 Char"/>
    <w:basedOn w:val="849"/>
    <w:link w:val="901"/>
    <w:uiPriority w:val="9"/>
    <w:pPr>
      <w:pBdr/>
      <w:spacing/>
      <w:ind/>
    </w:pPr>
    <w:rPr>
      <w:rFonts w:ascii="Arial" w:hAnsi="Arial" w:eastAsia="Arial" w:cs="Arial"/>
      <w:color w:val="0f4761" w:themeColor="accent1" w:themeShade="BF"/>
      <w:sz w:val="40"/>
      <w:szCs w:val="40"/>
    </w:rPr>
  </w:style>
  <w:style w:type="character" w:styleId="852">
    <w:name w:val="Heading 2 Char"/>
    <w:basedOn w:val="849"/>
    <w:link w:val="902"/>
    <w:uiPriority w:val="9"/>
    <w:pPr>
      <w:pBdr/>
      <w:spacing/>
      <w:ind/>
    </w:pPr>
    <w:rPr>
      <w:rFonts w:ascii="Arial" w:hAnsi="Arial" w:eastAsia="Arial" w:cs="Arial"/>
      <w:color w:val="0f4761" w:themeColor="accent1" w:themeShade="BF"/>
      <w:sz w:val="32"/>
      <w:szCs w:val="32"/>
    </w:rPr>
  </w:style>
  <w:style w:type="character" w:styleId="853">
    <w:name w:val="Heading 3 Char"/>
    <w:basedOn w:val="849"/>
    <w:link w:val="903"/>
    <w:uiPriority w:val="9"/>
    <w:pPr>
      <w:pBdr/>
      <w:spacing/>
      <w:ind/>
    </w:pPr>
    <w:rPr>
      <w:rFonts w:ascii="Arial" w:hAnsi="Arial" w:eastAsia="Arial" w:cs="Arial"/>
      <w:color w:val="0f4761" w:themeColor="accent1" w:themeShade="BF"/>
      <w:sz w:val="28"/>
      <w:szCs w:val="28"/>
    </w:rPr>
  </w:style>
  <w:style w:type="character" w:styleId="854">
    <w:name w:val="Heading 4 Char"/>
    <w:basedOn w:val="849"/>
    <w:link w:val="904"/>
    <w:uiPriority w:val="9"/>
    <w:pPr>
      <w:pBdr/>
      <w:spacing/>
      <w:ind/>
    </w:pPr>
    <w:rPr>
      <w:rFonts w:ascii="Arial" w:hAnsi="Arial" w:eastAsia="Arial" w:cs="Arial"/>
      <w:i/>
      <w:iCs/>
      <w:color w:val="0f4761" w:themeColor="accent1" w:themeShade="BF"/>
    </w:rPr>
  </w:style>
  <w:style w:type="character" w:styleId="855">
    <w:name w:val="Heading 5 Char"/>
    <w:basedOn w:val="849"/>
    <w:link w:val="905"/>
    <w:uiPriority w:val="9"/>
    <w:pPr>
      <w:pBdr/>
      <w:spacing/>
      <w:ind/>
    </w:pPr>
    <w:rPr>
      <w:rFonts w:ascii="Arial" w:hAnsi="Arial" w:eastAsia="Arial" w:cs="Arial"/>
      <w:color w:val="0f4761" w:themeColor="accent1" w:themeShade="BF"/>
    </w:rPr>
  </w:style>
  <w:style w:type="character" w:styleId="856">
    <w:name w:val="Heading 6 Char"/>
    <w:basedOn w:val="849"/>
    <w:link w:val="906"/>
    <w:uiPriority w:val="9"/>
    <w:pPr>
      <w:pBdr/>
      <w:spacing/>
      <w:ind/>
    </w:pPr>
    <w:rPr>
      <w:rFonts w:ascii="Arial" w:hAnsi="Arial" w:eastAsia="Arial" w:cs="Arial"/>
      <w:i/>
      <w:iCs/>
      <w:color w:val="595959" w:themeColor="text1" w:themeTint="A6"/>
    </w:rPr>
  </w:style>
  <w:style w:type="character" w:styleId="857">
    <w:name w:val="Heading 7 Char"/>
    <w:basedOn w:val="849"/>
    <w:link w:val="846"/>
    <w:uiPriority w:val="9"/>
    <w:pPr>
      <w:pBdr/>
      <w:spacing/>
      <w:ind/>
    </w:pPr>
    <w:rPr>
      <w:rFonts w:ascii="Arial" w:hAnsi="Arial" w:eastAsia="Arial" w:cs="Arial"/>
      <w:color w:val="595959" w:themeColor="text1" w:themeTint="A6"/>
    </w:rPr>
  </w:style>
  <w:style w:type="character" w:styleId="858">
    <w:name w:val="Heading 8 Char"/>
    <w:basedOn w:val="849"/>
    <w:link w:val="847"/>
    <w:uiPriority w:val="9"/>
    <w:pPr>
      <w:pBdr/>
      <w:spacing/>
      <w:ind/>
    </w:pPr>
    <w:rPr>
      <w:rFonts w:ascii="Arial" w:hAnsi="Arial" w:eastAsia="Arial" w:cs="Arial"/>
      <w:i/>
      <w:iCs/>
      <w:color w:val="272727" w:themeColor="text1" w:themeTint="D8"/>
    </w:rPr>
  </w:style>
  <w:style w:type="character" w:styleId="859">
    <w:name w:val="Heading 9 Char"/>
    <w:basedOn w:val="849"/>
    <w:link w:val="848"/>
    <w:uiPriority w:val="9"/>
    <w:pPr>
      <w:pBdr/>
      <w:spacing/>
      <w:ind/>
    </w:pPr>
    <w:rPr>
      <w:rFonts w:ascii="Arial" w:hAnsi="Arial" w:eastAsia="Arial" w:cs="Arial"/>
      <w:i/>
      <w:iCs/>
      <w:color w:val="272727" w:themeColor="text1" w:themeTint="D8"/>
    </w:rPr>
  </w:style>
  <w:style w:type="character" w:styleId="860">
    <w:name w:val="Title Char"/>
    <w:basedOn w:val="849"/>
    <w:link w:val="907"/>
    <w:uiPriority w:val="10"/>
    <w:pPr>
      <w:pBdr/>
      <w:spacing/>
      <w:ind/>
    </w:pPr>
    <w:rPr>
      <w:rFonts w:ascii="Arial" w:hAnsi="Arial" w:eastAsia="Arial" w:cs="Arial"/>
      <w:spacing w:val="-10"/>
      <w:sz w:val="56"/>
      <w:szCs w:val="56"/>
    </w:rPr>
  </w:style>
  <w:style w:type="character" w:styleId="861">
    <w:name w:val="Subtitle Char"/>
    <w:basedOn w:val="849"/>
    <w:link w:val="908"/>
    <w:uiPriority w:val="11"/>
    <w:pPr>
      <w:pBdr/>
      <w:spacing/>
      <w:ind/>
    </w:pPr>
    <w:rPr>
      <w:color w:val="595959" w:themeColor="text1" w:themeTint="A6"/>
      <w:spacing w:val="15"/>
      <w:sz w:val="28"/>
      <w:szCs w:val="28"/>
    </w:rPr>
  </w:style>
  <w:style w:type="paragraph" w:styleId="862">
    <w:name w:val="Quote"/>
    <w:basedOn w:val="900"/>
    <w:next w:val="900"/>
    <w:link w:val="863"/>
    <w:uiPriority w:val="29"/>
    <w:qFormat/>
    <w:pPr>
      <w:pBdr/>
      <w:spacing w:before="160"/>
      <w:ind/>
      <w:jc w:val="center"/>
    </w:pPr>
    <w:rPr>
      <w:i/>
      <w:iCs/>
      <w:color w:val="404040" w:themeColor="text1" w:themeTint="BF"/>
    </w:rPr>
  </w:style>
  <w:style w:type="character" w:styleId="863">
    <w:name w:val="Quote Char"/>
    <w:basedOn w:val="849"/>
    <w:link w:val="862"/>
    <w:uiPriority w:val="29"/>
    <w:pPr>
      <w:pBdr/>
      <w:spacing/>
      <w:ind/>
    </w:pPr>
    <w:rPr>
      <w:i/>
      <w:iCs/>
      <w:color w:val="404040" w:themeColor="text1" w:themeTint="BF"/>
    </w:rPr>
  </w:style>
  <w:style w:type="paragraph" w:styleId="864">
    <w:name w:val="List Paragraph"/>
    <w:basedOn w:val="900"/>
    <w:uiPriority w:val="34"/>
    <w:qFormat/>
    <w:pPr>
      <w:pBdr/>
      <w:spacing/>
      <w:ind w:left="720"/>
      <w:contextualSpacing w:val="true"/>
    </w:p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900"/>
    <w:next w:val="900"/>
    <w:link w:val="8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paragraph" w:styleId="869">
    <w:name w:val="No Spacing"/>
    <w:basedOn w:val="900"/>
    <w:uiPriority w:val="1"/>
    <w:qFormat/>
    <w:pPr>
      <w:pBdr/>
      <w:spacing w:after="0" w:line="240" w:lineRule="auto"/>
      <w:ind/>
    </w:pPr>
  </w:style>
  <w:style w:type="character" w:styleId="870">
    <w:name w:val="Subtle Emphasis"/>
    <w:basedOn w:val="849"/>
    <w:uiPriority w:val="19"/>
    <w:qFormat/>
    <w:pPr>
      <w:pBdr/>
      <w:spacing/>
      <w:ind/>
    </w:pPr>
    <w:rPr>
      <w:i/>
      <w:iCs/>
      <w:color w:val="404040" w:themeColor="text1" w:themeTint="BF"/>
    </w:rPr>
  </w:style>
  <w:style w:type="character" w:styleId="871">
    <w:name w:val="Emphasis"/>
    <w:basedOn w:val="849"/>
    <w:uiPriority w:val="20"/>
    <w:qFormat/>
    <w:pPr>
      <w:pBdr/>
      <w:spacing/>
      <w:ind/>
    </w:pPr>
    <w:rPr>
      <w:i/>
      <w:iCs/>
    </w:rPr>
  </w:style>
  <w:style w:type="character" w:styleId="872">
    <w:name w:val="Strong"/>
    <w:basedOn w:val="849"/>
    <w:uiPriority w:val="22"/>
    <w:qFormat/>
    <w:pPr>
      <w:pBdr/>
      <w:spacing/>
      <w:ind/>
    </w:pPr>
    <w:rPr>
      <w:b/>
      <w:bCs/>
    </w:rPr>
  </w:style>
  <w:style w:type="character" w:styleId="873">
    <w:name w:val="Subtle Reference"/>
    <w:basedOn w:val="849"/>
    <w:uiPriority w:val="31"/>
    <w:qFormat/>
    <w:pPr>
      <w:pBdr/>
      <w:spacing/>
      <w:ind/>
    </w:pPr>
    <w:rPr>
      <w:smallCaps/>
      <w:color w:val="5a5a5a" w:themeColor="text1" w:themeTint="A5"/>
    </w:rPr>
  </w:style>
  <w:style w:type="character" w:styleId="874">
    <w:name w:val="Book Title"/>
    <w:basedOn w:val="849"/>
    <w:uiPriority w:val="33"/>
    <w:qFormat/>
    <w:pPr>
      <w:pBdr/>
      <w:spacing/>
      <w:ind/>
    </w:pPr>
    <w:rPr>
      <w:b/>
      <w:bCs/>
      <w:i/>
      <w:iCs/>
      <w:spacing w:val="5"/>
    </w:rPr>
  </w:style>
  <w:style w:type="paragraph" w:styleId="875">
    <w:name w:val="Header"/>
    <w:basedOn w:val="900"/>
    <w:link w:val="876"/>
    <w:uiPriority w:val="99"/>
    <w:unhideWhenUsed/>
    <w:pPr>
      <w:pBdr/>
      <w:tabs>
        <w:tab w:val="center" w:leader="none" w:pos="4844"/>
        <w:tab w:val="right" w:leader="none" w:pos="9689"/>
      </w:tabs>
      <w:spacing w:after="0" w:line="240" w:lineRule="auto"/>
      <w:ind/>
    </w:pPr>
  </w:style>
  <w:style w:type="character" w:styleId="876">
    <w:name w:val="Header Char"/>
    <w:basedOn w:val="849"/>
    <w:link w:val="875"/>
    <w:uiPriority w:val="99"/>
    <w:pPr>
      <w:pBdr/>
      <w:spacing/>
      <w:ind/>
    </w:pPr>
  </w:style>
  <w:style w:type="paragraph" w:styleId="877">
    <w:name w:val="Footer"/>
    <w:basedOn w:val="900"/>
    <w:link w:val="878"/>
    <w:uiPriority w:val="99"/>
    <w:unhideWhenUsed/>
    <w:pPr>
      <w:pBdr/>
      <w:tabs>
        <w:tab w:val="center" w:leader="none" w:pos="4844"/>
        <w:tab w:val="right" w:leader="none" w:pos="9689"/>
      </w:tabs>
      <w:spacing w:after="0" w:line="240" w:lineRule="auto"/>
      <w:ind/>
    </w:pPr>
  </w:style>
  <w:style w:type="character" w:styleId="878">
    <w:name w:val="Footer Char"/>
    <w:basedOn w:val="849"/>
    <w:link w:val="877"/>
    <w:uiPriority w:val="99"/>
    <w:pPr>
      <w:pBdr/>
      <w:spacing/>
      <w:ind/>
    </w:pPr>
  </w:style>
  <w:style w:type="paragraph" w:styleId="879">
    <w:name w:val="Caption"/>
    <w:basedOn w:val="900"/>
    <w:next w:val="900"/>
    <w:uiPriority w:val="35"/>
    <w:unhideWhenUsed/>
    <w:qFormat/>
    <w:pPr>
      <w:pBdr/>
      <w:spacing w:after="200" w:line="240" w:lineRule="auto"/>
      <w:ind/>
    </w:pPr>
    <w:rPr>
      <w:i/>
      <w:iCs/>
      <w:color w:val="0e2841" w:themeColor="text2"/>
      <w:sz w:val="18"/>
      <w:szCs w:val="18"/>
    </w:rPr>
  </w:style>
  <w:style w:type="paragraph" w:styleId="880">
    <w:name w:val="footnote text"/>
    <w:basedOn w:val="900"/>
    <w:link w:val="881"/>
    <w:uiPriority w:val="99"/>
    <w:semiHidden/>
    <w:unhideWhenUsed/>
    <w:pPr>
      <w:pBdr/>
      <w:spacing w:after="0" w:line="240" w:lineRule="auto"/>
      <w:ind/>
    </w:pPr>
    <w:rPr>
      <w:sz w:val="20"/>
      <w:szCs w:val="20"/>
    </w:rPr>
  </w:style>
  <w:style w:type="character" w:styleId="881">
    <w:name w:val="Footnote Text Char"/>
    <w:basedOn w:val="849"/>
    <w:link w:val="880"/>
    <w:uiPriority w:val="99"/>
    <w:semiHidden/>
    <w:pPr>
      <w:pBdr/>
      <w:spacing/>
      <w:ind/>
    </w:pPr>
    <w:rPr>
      <w:sz w:val="20"/>
      <w:szCs w:val="20"/>
    </w:rPr>
  </w:style>
  <w:style w:type="character" w:styleId="882">
    <w:name w:val="footnote reference"/>
    <w:basedOn w:val="849"/>
    <w:uiPriority w:val="99"/>
    <w:semiHidden/>
    <w:unhideWhenUsed/>
    <w:pPr>
      <w:pBdr/>
      <w:spacing/>
      <w:ind/>
    </w:pPr>
    <w:rPr>
      <w:vertAlign w:val="superscript"/>
    </w:rPr>
  </w:style>
  <w:style w:type="paragraph" w:styleId="883">
    <w:name w:val="endnote text"/>
    <w:basedOn w:val="900"/>
    <w:link w:val="884"/>
    <w:uiPriority w:val="99"/>
    <w:semiHidden/>
    <w:unhideWhenUsed/>
    <w:pPr>
      <w:pBdr/>
      <w:spacing w:after="0" w:line="240" w:lineRule="auto"/>
      <w:ind/>
    </w:pPr>
    <w:rPr>
      <w:sz w:val="20"/>
      <w:szCs w:val="20"/>
    </w:rPr>
  </w:style>
  <w:style w:type="character" w:styleId="884">
    <w:name w:val="Endnote Text Char"/>
    <w:basedOn w:val="849"/>
    <w:link w:val="883"/>
    <w:uiPriority w:val="99"/>
    <w:semiHidden/>
    <w:pPr>
      <w:pBdr/>
      <w:spacing/>
      <w:ind/>
    </w:pPr>
    <w:rPr>
      <w:sz w:val="20"/>
      <w:szCs w:val="20"/>
    </w:rPr>
  </w:style>
  <w:style w:type="character" w:styleId="885">
    <w:name w:val="endnote reference"/>
    <w:basedOn w:val="849"/>
    <w:uiPriority w:val="99"/>
    <w:semiHidden/>
    <w:unhideWhenUsed/>
    <w:pPr>
      <w:pBdr/>
      <w:spacing/>
      <w:ind/>
    </w:pPr>
    <w:rPr>
      <w:vertAlign w:val="superscript"/>
    </w:rPr>
  </w:style>
  <w:style w:type="character" w:styleId="886">
    <w:name w:val="Hyperlink"/>
    <w:basedOn w:val="849"/>
    <w:uiPriority w:val="99"/>
    <w:unhideWhenUsed/>
    <w:pPr>
      <w:pBdr/>
      <w:spacing/>
      <w:ind/>
    </w:pPr>
    <w:rPr>
      <w:color w:val="0563c1" w:themeColor="hyperlink"/>
      <w:u w:val="single"/>
    </w:rPr>
  </w:style>
  <w:style w:type="character" w:styleId="887">
    <w:name w:val="FollowedHyperlink"/>
    <w:basedOn w:val="849"/>
    <w:uiPriority w:val="99"/>
    <w:semiHidden/>
    <w:unhideWhenUsed/>
    <w:pPr>
      <w:pBdr/>
      <w:spacing/>
      <w:ind/>
    </w:pPr>
    <w:rPr>
      <w:color w:val="954f72" w:themeColor="followedHyperlink"/>
      <w:u w:val="single"/>
    </w:rPr>
  </w:style>
  <w:style w:type="paragraph" w:styleId="888">
    <w:name w:val="toc 1"/>
    <w:basedOn w:val="900"/>
    <w:next w:val="900"/>
    <w:uiPriority w:val="39"/>
    <w:unhideWhenUsed/>
    <w:pPr>
      <w:pBdr/>
      <w:spacing w:after="100"/>
      <w:ind/>
    </w:pPr>
  </w:style>
  <w:style w:type="paragraph" w:styleId="889">
    <w:name w:val="toc 2"/>
    <w:basedOn w:val="900"/>
    <w:next w:val="900"/>
    <w:uiPriority w:val="39"/>
    <w:unhideWhenUsed/>
    <w:pPr>
      <w:pBdr/>
      <w:spacing w:after="100"/>
      <w:ind w:left="220"/>
    </w:pPr>
  </w:style>
  <w:style w:type="paragraph" w:styleId="890">
    <w:name w:val="toc 3"/>
    <w:basedOn w:val="900"/>
    <w:next w:val="900"/>
    <w:uiPriority w:val="39"/>
    <w:unhideWhenUsed/>
    <w:pPr>
      <w:pBdr/>
      <w:spacing w:after="100"/>
      <w:ind w:left="440"/>
    </w:pPr>
  </w:style>
  <w:style w:type="paragraph" w:styleId="891">
    <w:name w:val="toc 4"/>
    <w:basedOn w:val="900"/>
    <w:next w:val="900"/>
    <w:uiPriority w:val="39"/>
    <w:unhideWhenUsed/>
    <w:pPr>
      <w:pBdr/>
      <w:spacing w:after="100"/>
      <w:ind w:left="660"/>
    </w:pPr>
  </w:style>
  <w:style w:type="paragraph" w:styleId="892">
    <w:name w:val="toc 5"/>
    <w:basedOn w:val="900"/>
    <w:next w:val="900"/>
    <w:uiPriority w:val="39"/>
    <w:unhideWhenUsed/>
    <w:pPr>
      <w:pBdr/>
      <w:spacing w:after="100"/>
      <w:ind w:left="880"/>
    </w:pPr>
  </w:style>
  <w:style w:type="paragraph" w:styleId="893">
    <w:name w:val="toc 6"/>
    <w:basedOn w:val="900"/>
    <w:next w:val="900"/>
    <w:uiPriority w:val="39"/>
    <w:unhideWhenUsed/>
    <w:pPr>
      <w:pBdr/>
      <w:spacing w:after="100"/>
      <w:ind w:left="1100"/>
    </w:pPr>
  </w:style>
  <w:style w:type="paragraph" w:styleId="894">
    <w:name w:val="toc 7"/>
    <w:basedOn w:val="900"/>
    <w:next w:val="900"/>
    <w:uiPriority w:val="39"/>
    <w:unhideWhenUsed/>
    <w:pPr>
      <w:pBdr/>
      <w:spacing w:after="100"/>
      <w:ind w:left="1320"/>
    </w:pPr>
  </w:style>
  <w:style w:type="paragraph" w:styleId="895">
    <w:name w:val="toc 8"/>
    <w:basedOn w:val="900"/>
    <w:next w:val="900"/>
    <w:uiPriority w:val="39"/>
    <w:unhideWhenUsed/>
    <w:pPr>
      <w:pBdr/>
      <w:spacing w:after="100"/>
      <w:ind w:left="1540"/>
    </w:pPr>
  </w:style>
  <w:style w:type="paragraph" w:styleId="896">
    <w:name w:val="toc 9"/>
    <w:basedOn w:val="900"/>
    <w:next w:val="900"/>
    <w:uiPriority w:val="39"/>
    <w:unhideWhenUsed/>
    <w:pPr>
      <w:pBdr/>
      <w:spacing w:after="100"/>
      <w:ind w:left="1760"/>
    </w:pPr>
  </w:style>
  <w:style w:type="paragraph" w:styleId="897">
    <w:name w:val="TOC Heading"/>
    <w:uiPriority w:val="39"/>
    <w:unhideWhenUsed/>
    <w:pPr>
      <w:pBdr/>
      <w:spacing/>
      <w:ind/>
    </w:pPr>
  </w:style>
  <w:style w:type="paragraph" w:styleId="898">
    <w:name w:val="table of figures"/>
    <w:basedOn w:val="900"/>
    <w:next w:val="900"/>
    <w:uiPriority w:val="99"/>
    <w:unhideWhenUsed/>
    <w:pPr>
      <w:pBdr/>
      <w:spacing w:after="0" w:afterAutospacing="0"/>
      <w:ind/>
    </w:pPr>
  </w:style>
  <w:style w:type="table" w:styleId="899">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0" w:default="1">
    <w:name w:val="Normal"/>
    <w:pPr>
      <w:pBdr/>
      <w:spacing/>
      <w:ind/>
    </w:pPr>
  </w:style>
  <w:style w:type="paragraph" w:styleId="901">
    <w:name w:val="Heading 1"/>
    <w:basedOn w:val="900"/>
    <w:next w:val="900"/>
    <w:pPr>
      <w:keepNext w:val="true"/>
      <w:keepLines w:val="true"/>
      <w:pageBreakBefore w:val="false"/>
      <w:pBdr/>
      <w:spacing w:after="120" w:before="480"/>
      <w:ind/>
    </w:pPr>
    <w:rPr>
      <w:b/>
      <w:sz w:val="48"/>
      <w:szCs w:val="48"/>
    </w:rPr>
  </w:style>
  <w:style w:type="paragraph" w:styleId="902">
    <w:name w:val="Heading 2"/>
    <w:basedOn w:val="900"/>
    <w:next w:val="900"/>
    <w:pPr>
      <w:keepNext w:val="true"/>
      <w:keepLines w:val="true"/>
      <w:pageBreakBefore w:val="false"/>
      <w:pBdr/>
      <w:spacing w:after="80" w:before="360"/>
      <w:ind/>
    </w:pPr>
    <w:rPr>
      <w:b/>
      <w:sz w:val="36"/>
      <w:szCs w:val="36"/>
    </w:rPr>
  </w:style>
  <w:style w:type="paragraph" w:styleId="903">
    <w:name w:val="Heading 3"/>
    <w:basedOn w:val="900"/>
    <w:next w:val="900"/>
    <w:pPr>
      <w:keepNext w:val="true"/>
      <w:keepLines w:val="true"/>
      <w:pageBreakBefore w:val="false"/>
      <w:pBdr/>
      <w:spacing w:after="80" w:before="280"/>
      <w:ind/>
    </w:pPr>
    <w:rPr>
      <w:b/>
      <w:sz w:val="28"/>
      <w:szCs w:val="28"/>
    </w:rPr>
  </w:style>
  <w:style w:type="paragraph" w:styleId="904">
    <w:name w:val="Heading 4"/>
    <w:basedOn w:val="900"/>
    <w:next w:val="900"/>
    <w:pPr>
      <w:keepNext w:val="true"/>
      <w:keepLines w:val="true"/>
      <w:pageBreakBefore w:val="false"/>
      <w:pBdr/>
      <w:spacing w:after="40" w:before="240"/>
      <w:ind/>
    </w:pPr>
    <w:rPr>
      <w:b/>
      <w:sz w:val="24"/>
      <w:szCs w:val="24"/>
    </w:rPr>
  </w:style>
  <w:style w:type="paragraph" w:styleId="905">
    <w:name w:val="Heading 5"/>
    <w:basedOn w:val="900"/>
    <w:next w:val="900"/>
    <w:pPr>
      <w:keepNext w:val="true"/>
      <w:keepLines w:val="true"/>
      <w:pageBreakBefore w:val="false"/>
      <w:pBdr/>
      <w:spacing w:after="40" w:before="220"/>
      <w:ind/>
    </w:pPr>
    <w:rPr>
      <w:b/>
      <w:sz w:val="22"/>
      <w:szCs w:val="22"/>
    </w:rPr>
  </w:style>
  <w:style w:type="paragraph" w:styleId="906">
    <w:name w:val="Heading 6"/>
    <w:basedOn w:val="900"/>
    <w:next w:val="900"/>
    <w:pPr>
      <w:keepNext w:val="true"/>
      <w:keepLines w:val="true"/>
      <w:pageBreakBefore w:val="false"/>
      <w:pBdr/>
      <w:spacing w:after="40" w:before="200"/>
      <w:ind/>
    </w:pPr>
    <w:rPr>
      <w:b/>
      <w:sz w:val="20"/>
      <w:szCs w:val="20"/>
    </w:rPr>
  </w:style>
  <w:style w:type="paragraph" w:styleId="907">
    <w:name w:val="Title"/>
    <w:basedOn w:val="900"/>
    <w:next w:val="900"/>
    <w:pPr>
      <w:keepNext w:val="true"/>
      <w:keepLines w:val="true"/>
      <w:pageBreakBefore w:val="false"/>
      <w:pBdr/>
      <w:spacing w:after="120" w:before="480"/>
      <w:ind/>
    </w:pPr>
    <w:rPr>
      <w:b/>
      <w:sz w:val="72"/>
      <w:szCs w:val="72"/>
    </w:rPr>
  </w:style>
  <w:style w:type="paragraph" w:styleId="908">
    <w:name w:val="Subtitle"/>
    <w:basedOn w:val="900"/>
    <w:next w:val="900"/>
    <w:pPr>
      <w:keepNext w:val="true"/>
      <w:keepLines w:val="true"/>
      <w:pageBreakBefore w:val="false"/>
      <w:pBdr/>
      <w:spacing w:after="80" w:before="360"/>
      <w:ind/>
    </w:pPr>
    <w:rPr>
      <w:rFonts w:ascii="Georgia" w:hAnsi="Georgia" w:eastAsia="Georgia" w:cs="Georgia"/>
      <w:i/>
      <w:color w:val="666666"/>
      <w:sz w:val="48"/>
      <w:szCs w:val="48"/>
    </w:rPr>
  </w:style>
  <w:style w:type="table" w:styleId="909">
    <w:name w:val="StGen0"/>
    <w:basedOn w:val="899"/>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hyperlink" Target="https://resana.numerique.gouv.fr/public/information/consulterAccessUrl?cle_url=2071908225DmIEYlBYAGsGOlZmUz9VcQBsADJVdFJrBGsLbgBoW2MCNwEwUDBSZ1YyAG8DOQ==" TargetMode="External"/><Relationship Id="rId11" Type="http://schemas.openxmlformats.org/officeDocument/2006/relationships/hyperlink" Target="https://resana.numerique.gouv.fr/public/information/consulterAccessUrl?cle_url=2124852969A28CZAcPUzgCPlNjA28LLwdrDz0DIgM6C2QBZAFpXmZUYVJjVjZZbFUwUzUCMg==" TargetMode="External"/><Relationship Id="rId12" Type="http://schemas.openxmlformats.org/officeDocument/2006/relationships/hyperlink" Target="https://lesbases.anct.gouv.fr/ressources/webinaire-reperer-et-accompagner-les-personnes-en-situation-d-illettrisme-anlci" TargetMode="External"/><Relationship Id="rId13" Type="http://schemas.openxmlformats.org/officeDocument/2006/relationships/comments" Target="comments.xml" /><Relationship Id="rId14" Type="http://schemas.microsoft.com/office/2011/relationships/commentsExtended" Target="commentsExtended.xml" /><Relationship Id="rId15" Type="http://schemas.microsoft.com/office/2016/09/relationships/commentsIds" Target="commentsIds.xml" /><Relationship Id="rId16" Type="http://schemas.onlyoffice.com/commentsDocument" Target="commentsDocument.xml" /><Relationship Id="rId17" Type="http://schemas.onlyoffice.com/commentsExtendedDocument" Target="commentsExtendedDocument.xml" /><Relationship Id="rId18"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1</cp:revision>
  <dcterms:modified xsi:type="dcterms:W3CDTF">2025-10-10T10:30:11Z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